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3E" w:rsidRDefault="00E5633E" w:rsidP="00E5633E">
      <w:pPr>
        <w:tabs>
          <w:tab w:val="left" w:pos="0"/>
          <w:tab w:val="center" w:pos="4873"/>
        </w:tabs>
        <w:spacing w:after="0" w:line="360" w:lineRule="auto"/>
        <w:jc w:val="center"/>
        <w:rPr>
          <w:rFonts w:ascii="Trebuchet MS" w:eastAsia="Times New Roman" w:hAnsi="Trebuchet MS" w:cs="Times New Roman"/>
          <w:b/>
          <w:sz w:val="25"/>
          <w:szCs w:val="25"/>
        </w:rPr>
      </w:pPr>
      <w:r>
        <w:rPr>
          <w:rFonts w:ascii="Trebuchet MS" w:eastAsia="Times New Roman" w:hAnsi="Trebuchet MS" w:cs="Times New Roman"/>
          <w:b/>
          <w:sz w:val="25"/>
          <w:szCs w:val="25"/>
        </w:rPr>
        <w:t>Annual Report 2016-17</w:t>
      </w:r>
    </w:p>
    <w:p w:rsidR="00E5633E" w:rsidRDefault="00E5633E" w:rsidP="006553B0">
      <w:pPr>
        <w:tabs>
          <w:tab w:val="left" w:pos="0"/>
          <w:tab w:val="center" w:pos="4873"/>
        </w:tabs>
        <w:spacing w:after="0" w:line="360" w:lineRule="auto"/>
        <w:jc w:val="both"/>
        <w:rPr>
          <w:rFonts w:eastAsia="Times New Roman" w:cs="Times New Roman"/>
          <w:sz w:val="25"/>
          <w:szCs w:val="25"/>
        </w:rPr>
      </w:pPr>
    </w:p>
    <w:p w:rsidR="006553B0" w:rsidRPr="00E5319C" w:rsidRDefault="006553B0" w:rsidP="006553B0">
      <w:pPr>
        <w:tabs>
          <w:tab w:val="left" w:pos="0"/>
          <w:tab w:val="center" w:pos="4873"/>
        </w:tabs>
        <w:spacing w:after="0" w:line="360" w:lineRule="auto"/>
        <w:jc w:val="both"/>
        <w:rPr>
          <w:rFonts w:eastAsia="Times New Roman" w:cs="Times New Roman"/>
          <w:sz w:val="25"/>
          <w:szCs w:val="25"/>
        </w:rPr>
      </w:pPr>
      <w:r w:rsidRPr="00E5319C">
        <w:rPr>
          <w:rFonts w:eastAsia="Times New Roman" w:cs="Times New Roman"/>
          <w:sz w:val="25"/>
          <w:szCs w:val="25"/>
        </w:rPr>
        <w:t>VTM N S S College, Dhanuvachapuram, affiliated to the University of Kerala, is one of the most prestigious institutions of Nair Service Society. The college was established in 196</w:t>
      </w:r>
      <w:r w:rsidR="00CE0594">
        <w:rPr>
          <w:rFonts w:eastAsia="Times New Roman" w:cs="Times New Roman"/>
          <w:sz w:val="25"/>
          <w:szCs w:val="25"/>
        </w:rPr>
        <w:t>4 and meritoriously completed 52</w:t>
      </w:r>
      <w:r w:rsidRPr="00E5319C">
        <w:rPr>
          <w:rFonts w:eastAsia="Times New Roman" w:cs="Times New Roman"/>
          <w:sz w:val="25"/>
          <w:szCs w:val="25"/>
        </w:rPr>
        <w:t xml:space="preserve"> years of illustrious social service imparting quality education. The institution offers 11 FDP courses and 4 PG courses. It also offers value added courses in</w:t>
      </w:r>
      <w:r w:rsidRPr="00E5319C">
        <w:rPr>
          <w:rFonts w:eastAsia="Gill Sans MT" w:cs="Times New Roman"/>
          <w:iCs/>
          <w:sz w:val="25"/>
          <w:szCs w:val="25"/>
        </w:rPr>
        <w:t xml:space="preserve"> addition to the university prescribed curriculum.</w:t>
      </w:r>
      <w:r w:rsidRPr="00E5319C">
        <w:rPr>
          <w:rFonts w:eastAsia="Times New Roman" w:cs="Times New Roman"/>
          <w:sz w:val="25"/>
          <w:szCs w:val="25"/>
        </w:rPr>
        <w:t xml:space="preserve"> The learning centre serves as a guiding path to the learners to attain expertise in strategic and life skills. </w:t>
      </w:r>
    </w:p>
    <w:p w:rsidR="006553B0" w:rsidRPr="00E5319C" w:rsidRDefault="006553B0" w:rsidP="006553B0">
      <w:pPr>
        <w:tabs>
          <w:tab w:val="left" w:pos="0"/>
          <w:tab w:val="center" w:pos="4873"/>
        </w:tabs>
        <w:spacing w:after="0" w:line="360" w:lineRule="auto"/>
        <w:jc w:val="both"/>
        <w:rPr>
          <w:rFonts w:eastAsia="Times New Roman" w:cs="Times New Roman"/>
          <w:sz w:val="25"/>
          <w:szCs w:val="25"/>
        </w:rPr>
      </w:pPr>
      <w:r w:rsidRPr="00E5319C">
        <w:rPr>
          <w:rFonts w:eastAsia="Times New Roman" w:cs="Times New Roman"/>
          <w:sz w:val="25"/>
          <w:szCs w:val="25"/>
        </w:rPr>
        <w:t xml:space="preserve">          The report at hand is a comprehensive analysis of the numerous activities and accomplishments carried out during the academic year 2016-17. It includes academic and administrative processes, University results, research and extension activities, and best practices. The institution strives forward with its greatest strength - offering quality education to a heterogeneous student community.</w:t>
      </w:r>
    </w:p>
    <w:p w:rsidR="006553B0" w:rsidRPr="00E5319C" w:rsidRDefault="006553B0" w:rsidP="006553B0">
      <w:pPr>
        <w:tabs>
          <w:tab w:val="left" w:pos="0"/>
          <w:tab w:val="center" w:pos="4873"/>
        </w:tabs>
        <w:spacing w:after="0" w:line="360" w:lineRule="auto"/>
        <w:jc w:val="both"/>
        <w:rPr>
          <w:rFonts w:eastAsia="Times New Roman" w:cs="Times New Roman"/>
          <w:b/>
          <w:sz w:val="25"/>
          <w:szCs w:val="25"/>
        </w:rPr>
      </w:pPr>
    </w:p>
    <w:p w:rsidR="006553B0" w:rsidRPr="00E5319C" w:rsidRDefault="006553B0" w:rsidP="006553B0">
      <w:pPr>
        <w:tabs>
          <w:tab w:val="left" w:pos="0"/>
          <w:tab w:val="center" w:pos="4873"/>
        </w:tabs>
        <w:spacing w:after="0" w:line="360" w:lineRule="auto"/>
        <w:jc w:val="both"/>
        <w:rPr>
          <w:rFonts w:eastAsia="Times New Roman" w:cs="Times New Roman"/>
          <w:b/>
          <w:sz w:val="25"/>
          <w:szCs w:val="25"/>
        </w:rPr>
      </w:pPr>
      <w:r w:rsidRPr="00E5319C">
        <w:rPr>
          <w:rFonts w:eastAsia="Times New Roman" w:cs="Times New Roman"/>
          <w:b/>
          <w:sz w:val="25"/>
          <w:szCs w:val="25"/>
        </w:rPr>
        <w:t>University Results</w:t>
      </w:r>
    </w:p>
    <w:p w:rsidR="006553B0" w:rsidRPr="00E5319C" w:rsidRDefault="006553B0" w:rsidP="006553B0">
      <w:pPr>
        <w:tabs>
          <w:tab w:val="left" w:pos="0"/>
          <w:tab w:val="center" w:pos="4873"/>
        </w:tabs>
        <w:spacing w:after="0" w:line="360" w:lineRule="auto"/>
        <w:jc w:val="both"/>
        <w:rPr>
          <w:rFonts w:eastAsia="Times New Roman" w:cs="Times New Roman"/>
          <w:sz w:val="25"/>
          <w:szCs w:val="25"/>
        </w:rPr>
      </w:pPr>
      <w:r w:rsidRPr="00E5319C">
        <w:rPr>
          <w:rFonts w:eastAsia="Times New Roman" w:cs="Times New Roman"/>
          <w:sz w:val="25"/>
          <w:szCs w:val="25"/>
        </w:rPr>
        <w:tab/>
        <w:t xml:space="preserve">           The year 2016-17 becomes remarkable as the institution achieved significant success in both the academic and administrative arena. The University results of 2015-16 have been outstanding and the results of both the undergraduate programmes and post graduate programmes were higher than the University pass percentage. The results of UG and PG programmes are as below:   </w:t>
      </w:r>
    </w:p>
    <w:p w:rsidR="006553B0" w:rsidRPr="00E5319C" w:rsidRDefault="006553B0" w:rsidP="006553B0">
      <w:pPr>
        <w:tabs>
          <w:tab w:val="left" w:pos="0"/>
          <w:tab w:val="center" w:pos="4873"/>
        </w:tabs>
        <w:spacing w:after="0" w:line="360" w:lineRule="auto"/>
        <w:jc w:val="both"/>
        <w:rPr>
          <w:rFonts w:eastAsia="Times New Roman" w:cs="Times New Roman"/>
          <w:sz w:val="25"/>
          <w:szCs w:val="25"/>
        </w:rPr>
      </w:pPr>
    </w:p>
    <w:tbl>
      <w:tblPr>
        <w:tblStyle w:val="TableGrid"/>
        <w:tblW w:w="4059" w:type="pct"/>
        <w:tblLook w:val="04A0"/>
      </w:tblPr>
      <w:tblGrid>
        <w:gridCol w:w="2594"/>
        <w:gridCol w:w="2590"/>
        <w:gridCol w:w="2590"/>
      </w:tblGrid>
      <w:tr w:rsidR="006553B0" w:rsidRPr="00E5319C" w:rsidTr="00A72C8C">
        <w:trPr>
          <w:trHeight w:val="565"/>
        </w:trPr>
        <w:tc>
          <w:tcPr>
            <w:tcW w:w="1668" w:type="pct"/>
          </w:tcPr>
          <w:p w:rsidR="006553B0" w:rsidRPr="00E5319C" w:rsidRDefault="006553B0" w:rsidP="00A72C8C">
            <w:pPr>
              <w:jc w:val="center"/>
              <w:rPr>
                <w:rFonts w:cs="Times New Roman"/>
                <w:b/>
                <w:sz w:val="25"/>
                <w:szCs w:val="25"/>
              </w:rPr>
            </w:pPr>
            <w:r w:rsidRPr="00E5319C">
              <w:rPr>
                <w:rFonts w:cs="Times New Roman"/>
                <w:b/>
                <w:sz w:val="25"/>
                <w:szCs w:val="25"/>
              </w:rPr>
              <w:t>Programme</w:t>
            </w:r>
          </w:p>
          <w:p w:rsidR="006553B0" w:rsidRPr="00E5319C" w:rsidRDefault="006553B0" w:rsidP="00A72C8C">
            <w:pPr>
              <w:jc w:val="center"/>
              <w:rPr>
                <w:rFonts w:cs="Times New Roman"/>
                <w:b/>
                <w:sz w:val="25"/>
                <w:szCs w:val="25"/>
              </w:rPr>
            </w:pPr>
            <w:r w:rsidRPr="00E5319C">
              <w:rPr>
                <w:rFonts w:cs="Times New Roman"/>
                <w:b/>
                <w:sz w:val="25"/>
                <w:szCs w:val="25"/>
              </w:rPr>
              <w:t>Code</w:t>
            </w:r>
          </w:p>
        </w:tc>
        <w:tc>
          <w:tcPr>
            <w:tcW w:w="1666" w:type="pct"/>
          </w:tcPr>
          <w:p w:rsidR="006553B0" w:rsidRPr="00E5319C" w:rsidRDefault="006553B0" w:rsidP="00A72C8C">
            <w:pPr>
              <w:jc w:val="center"/>
              <w:rPr>
                <w:rFonts w:cs="Times New Roman"/>
                <w:b/>
                <w:sz w:val="25"/>
                <w:szCs w:val="25"/>
              </w:rPr>
            </w:pPr>
            <w:r w:rsidRPr="00E5319C">
              <w:rPr>
                <w:rFonts w:cs="Times New Roman"/>
                <w:b/>
                <w:sz w:val="25"/>
                <w:szCs w:val="25"/>
              </w:rPr>
              <w:t>Name of the</w:t>
            </w:r>
          </w:p>
          <w:p w:rsidR="006553B0" w:rsidRPr="00E5319C" w:rsidRDefault="006553B0" w:rsidP="00A72C8C">
            <w:pPr>
              <w:jc w:val="center"/>
              <w:rPr>
                <w:rFonts w:cs="Times New Roman"/>
                <w:b/>
                <w:sz w:val="25"/>
                <w:szCs w:val="25"/>
              </w:rPr>
            </w:pPr>
            <w:r w:rsidRPr="00E5319C">
              <w:rPr>
                <w:rFonts w:cs="Times New Roman"/>
                <w:b/>
                <w:sz w:val="25"/>
                <w:szCs w:val="25"/>
              </w:rPr>
              <w:t>Programme</w:t>
            </w:r>
          </w:p>
        </w:tc>
        <w:tc>
          <w:tcPr>
            <w:tcW w:w="1666" w:type="pct"/>
          </w:tcPr>
          <w:p w:rsidR="006553B0" w:rsidRPr="00E5319C" w:rsidRDefault="006553B0" w:rsidP="00A72C8C">
            <w:pPr>
              <w:jc w:val="center"/>
              <w:rPr>
                <w:rFonts w:cs="Times New Roman"/>
                <w:b/>
                <w:sz w:val="25"/>
                <w:szCs w:val="25"/>
              </w:rPr>
            </w:pPr>
            <w:r w:rsidRPr="00E5319C">
              <w:rPr>
                <w:rFonts w:cs="Times New Roman"/>
                <w:b/>
                <w:sz w:val="25"/>
                <w:szCs w:val="25"/>
              </w:rPr>
              <w:t>Pass</w:t>
            </w:r>
          </w:p>
          <w:p w:rsidR="006553B0" w:rsidRPr="00E5319C" w:rsidRDefault="006553B0" w:rsidP="00A72C8C">
            <w:pPr>
              <w:jc w:val="center"/>
              <w:rPr>
                <w:rFonts w:cs="Times New Roman"/>
                <w:b/>
                <w:sz w:val="25"/>
                <w:szCs w:val="25"/>
              </w:rPr>
            </w:pPr>
            <w:r w:rsidRPr="00E5319C">
              <w:rPr>
                <w:rFonts w:cs="Times New Roman"/>
                <w:b/>
                <w:sz w:val="25"/>
                <w:szCs w:val="25"/>
              </w:rPr>
              <w:t>Percentage</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130</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FDP in English</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57.14%</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115</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FDP in Malayalam</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70.83%</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145</w:t>
            </w:r>
          </w:p>
        </w:tc>
        <w:tc>
          <w:tcPr>
            <w:tcW w:w="1666" w:type="pct"/>
          </w:tcPr>
          <w:p w:rsidR="006553B0" w:rsidRPr="00E5319C" w:rsidRDefault="006553B0" w:rsidP="00A72C8C">
            <w:pPr>
              <w:jc w:val="center"/>
              <w:rPr>
                <w:sz w:val="25"/>
                <w:szCs w:val="25"/>
              </w:rPr>
            </w:pPr>
            <w:r w:rsidRPr="00E5319C">
              <w:rPr>
                <w:rFonts w:cs="Times New Roman"/>
                <w:sz w:val="25"/>
                <w:szCs w:val="25"/>
              </w:rPr>
              <w:t>FDP in Political Science</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16.67%</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140</w:t>
            </w:r>
          </w:p>
        </w:tc>
        <w:tc>
          <w:tcPr>
            <w:tcW w:w="1666" w:type="pct"/>
          </w:tcPr>
          <w:p w:rsidR="006553B0" w:rsidRPr="00E5319C" w:rsidRDefault="006553B0" w:rsidP="00A72C8C">
            <w:pPr>
              <w:jc w:val="center"/>
              <w:rPr>
                <w:sz w:val="25"/>
                <w:szCs w:val="25"/>
              </w:rPr>
            </w:pPr>
            <w:r w:rsidRPr="00E5319C">
              <w:rPr>
                <w:rFonts w:cs="Times New Roman"/>
                <w:sz w:val="25"/>
                <w:szCs w:val="25"/>
              </w:rPr>
              <w:t>FDP in History</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18.14%</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150</w:t>
            </w:r>
          </w:p>
        </w:tc>
        <w:tc>
          <w:tcPr>
            <w:tcW w:w="1666" w:type="pct"/>
          </w:tcPr>
          <w:p w:rsidR="006553B0" w:rsidRPr="00E5319C" w:rsidRDefault="006553B0" w:rsidP="00A72C8C">
            <w:pPr>
              <w:jc w:val="center"/>
              <w:rPr>
                <w:sz w:val="25"/>
                <w:szCs w:val="25"/>
              </w:rPr>
            </w:pPr>
            <w:r w:rsidRPr="00E5319C">
              <w:rPr>
                <w:rFonts w:cs="Times New Roman"/>
                <w:sz w:val="25"/>
                <w:szCs w:val="25"/>
              </w:rPr>
              <w:t>FDP in Economics</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28.9%</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220</w:t>
            </w:r>
          </w:p>
        </w:tc>
        <w:tc>
          <w:tcPr>
            <w:tcW w:w="1666" w:type="pct"/>
          </w:tcPr>
          <w:p w:rsidR="006553B0" w:rsidRPr="00E5319C" w:rsidRDefault="006553B0" w:rsidP="00A72C8C">
            <w:pPr>
              <w:jc w:val="center"/>
              <w:rPr>
                <w:sz w:val="25"/>
                <w:szCs w:val="25"/>
              </w:rPr>
            </w:pPr>
            <w:r w:rsidRPr="00E5319C">
              <w:rPr>
                <w:rFonts w:cs="Times New Roman"/>
                <w:sz w:val="25"/>
                <w:szCs w:val="25"/>
              </w:rPr>
              <w:t>FDP in Mathematics</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42.22%</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230</w:t>
            </w:r>
          </w:p>
        </w:tc>
        <w:tc>
          <w:tcPr>
            <w:tcW w:w="1666" w:type="pct"/>
          </w:tcPr>
          <w:p w:rsidR="006553B0" w:rsidRPr="00E5319C" w:rsidRDefault="006553B0" w:rsidP="00A72C8C">
            <w:pPr>
              <w:jc w:val="center"/>
              <w:rPr>
                <w:sz w:val="25"/>
                <w:szCs w:val="25"/>
              </w:rPr>
            </w:pPr>
            <w:r w:rsidRPr="00E5319C">
              <w:rPr>
                <w:rFonts w:cs="Times New Roman"/>
                <w:sz w:val="25"/>
                <w:szCs w:val="25"/>
              </w:rPr>
              <w:t>FDP in Physics</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62.8%</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235</w:t>
            </w:r>
          </w:p>
        </w:tc>
        <w:tc>
          <w:tcPr>
            <w:tcW w:w="1666" w:type="pct"/>
          </w:tcPr>
          <w:p w:rsidR="006553B0" w:rsidRPr="00E5319C" w:rsidRDefault="006553B0" w:rsidP="00A72C8C">
            <w:pPr>
              <w:jc w:val="center"/>
              <w:rPr>
                <w:sz w:val="25"/>
                <w:szCs w:val="25"/>
              </w:rPr>
            </w:pPr>
            <w:r w:rsidRPr="00E5319C">
              <w:rPr>
                <w:rFonts w:cs="Times New Roman"/>
                <w:sz w:val="25"/>
                <w:szCs w:val="25"/>
              </w:rPr>
              <w:t>FDP in Chemistry</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54.1%</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lastRenderedPageBreak/>
              <w:t>245</w:t>
            </w:r>
          </w:p>
        </w:tc>
        <w:tc>
          <w:tcPr>
            <w:tcW w:w="1666" w:type="pct"/>
          </w:tcPr>
          <w:p w:rsidR="006553B0" w:rsidRPr="00E5319C" w:rsidRDefault="006553B0" w:rsidP="00A72C8C">
            <w:pPr>
              <w:jc w:val="center"/>
              <w:rPr>
                <w:sz w:val="25"/>
                <w:szCs w:val="25"/>
              </w:rPr>
            </w:pPr>
            <w:r w:rsidRPr="00E5319C">
              <w:rPr>
                <w:rFonts w:cs="Times New Roman"/>
                <w:sz w:val="25"/>
                <w:szCs w:val="25"/>
              </w:rPr>
              <w:t>FDP in Botany</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35.13%</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150</w:t>
            </w:r>
          </w:p>
        </w:tc>
        <w:tc>
          <w:tcPr>
            <w:tcW w:w="1666" w:type="pct"/>
          </w:tcPr>
          <w:p w:rsidR="006553B0" w:rsidRPr="00E5319C" w:rsidRDefault="006553B0" w:rsidP="00A72C8C">
            <w:pPr>
              <w:jc w:val="center"/>
              <w:rPr>
                <w:sz w:val="25"/>
                <w:szCs w:val="25"/>
              </w:rPr>
            </w:pPr>
            <w:r w:rsidRPr="00E5319C">
              <w:rPr>
                <w:rFonts w:cs="Times New Roman"/>
                <w:sz w:val="25"/>
                <w:szCs w:val="25"/>
              </w:rPr>
              <w:t>FDP in Zoology</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48.5%</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159</w:t>
            </w:r>
          </w:p>
        </w:tc>
        <w:tc>
          <w:tcPr>
            <w:tcW w:w="1666" w:type="pct"/>
          </w:tcPr>
          <w:p w:rsidR="006553B0" w:rsidRPr="00E5319C" w:rsidRDefault="006553B0" w:rsidP="00A72C8C">
            <w:pPr>
              <w:jc w:val="center"/>
              <w:rPr>
                <w:sz w:val="25"/>
                <w:szCs w:val="25"/>
              </w:rPr>
            </w:pPr>
            <w:r w:rsidRPr="00E5319C">
              <w:rPr>
                <w:rFonts w:cs="Times New Roman"/>
                <w:sz w:val="25"/>
                <w:szCs w:val="25"/>
              </w:rPr>
              <w:t>FDP in Commerce</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44.61%</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530</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PG in</w:t>
            </w:r>
          </w:p>
          <w:p w:rsidR="006553B0" w:rsidRPr="00E5319C" w:rsidRDefault="006553B0" w:rsidP="00A72C8C">
            <w:pPr>
              <w:jc w:val="center"/>
              <w:rPr>
                <w:rFonts w:cs="Times New Roman"/>
                <w:sz w:val="25"/>
                <w:szCs w:val="25"/>
              </w:rPr>
            </w:pPr>
            <w:r w:rsidRPr="00E5319C">
              <w:rPr>
                <w:rFonts w:cs="Times New Roman"/>
                <w:sz w:val="25"/>
                <w:szCs w:val="25"/>
              </w:rPr>
              <w:t>English</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72.21%</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540</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PG in</w:t>
            </w:r>
          </w:p>
          <w:p w:rsidR="006553B0" w:rsidRPr="00E5319C" w:rsidRDefault="006553B0" w:rsidP="00A72C8C">
            <w:pPr>
              <w:jc w:val="center"/>
              <w:rPr>
                <w:sz w:val="25"/>
                <w:szCs w:val="25"/>
              </w:rPr>
            </w:pPr>
            <w:r w:rsidRPr="00E5319C">
              <w:rPr>
                <w:rFonts w:cs="Times New Roman"/>
                <w:sz w:val="25"/>
                <w:szCs w:val="25"/>
              </w:rPr>
              <w:t>History</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86.6%</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590</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PG in</w:t>
            </w:r>
          </w:p>
          <w:p w:rsidR="006553B0" w:rsidRPr="00E5319C" w:rsidRDefault="006553B0" w:rsidP="00A72C8C">
            <w:pPr>
              <w:jc w:val="center"/>
              <w:rPr>
                <w:sz w:val="25"/>
                <w:szCs w:val="25"/>
              </w:rPr>
            </w:pPr>
            <w:r w:rsidRPr="00E5319C">
              <w:rPr>
                <w:rFonts w:cs="Times New Roman"/>
                <w:sz w:val="25"/>
                <w:szCs w:val="25"/>
              </w:rPr>
              <w:t>Economics</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55%</w:t>
            </w:r>
          </w:p>
        </w:tc>
      </w:tr>
      <w:tr w:rsidR="006553B0" w:rsidRPr="00E5319C" w:rsidTr="00A72C8C">
        <w:trPr>
          <w:trHeight w:val="145"/>
        </w:trPr>
        <w:tc>
          <w:tcPr>
            <w:tcW w:w="1668" w:type="pct"/>
          </w:tcPr>
          <w:p w:rsidR="006553B0" w:rsidRPr="00E5319C" w:rsidRDefault="006553B0" w:rsidP="00A72C8C">
            <w:pPr>
              <w:jc w:val="center"/>
              <w:rPr>
                <w:rFonts w:cs="Times New Roman"/>
                <w:sz w:val="25"/>
                <w:szCs w:val="25"/>
              </w:rPr>
            </w:pPr>
            <w:r w:rsidRPr="00E5319C">
              <w:rPr>
                <w:rFonts w:cs="Times New Roman"/>
                <w:sz w:val="25"/>
                <w:szCs w:val="25"/>
              </w:rPr>
              <w:t>130</w:t>
            </w:r>
          </w:p>
        </w:tc>
        <w:tc>
          <w:tcPr>
            <w:tcW w:w="1666" w:type="pct"/>
          </w:tcPr>
          <w:p w:rsidR="006553B0" w:rsidRPr="00E5319C" w:rsidRDefault="006553B0" w:rsidP="00A72C8C">
            <w:pPr>
              <w:jc w:val="center"/>
              <w:rPr>
                <w:sz w:val="25"/>
                <w:szCs w:val="25"/>
              </w:rPr>
            </w:pPr>
            <w:r w:rsidRPr="00E5319C">
              <w:rPr>
                <w:rFonts w:cs="Times New Roman"/>
                <w:sz w:val="25"/>
                <w:szCs w:val="25"/>
              </w:rPr>
              <w:t>PG in Commerce</w:t>
            </w:r>
          </w:p>
        </w:tc>
        <w:tc>
          <w:tcPr>
            <w:tcW w:w="1666" w:type="pct"/>
          </w:tcPr>
          <w:p w:rsidR="006553B0" w:rsidRPr="00E5319C" w:rsidRDefault="006553B0" w:rsidP="00A72C8C">
            <w:pPr>
              <w:jc w:val="center"/>
              <w:rPr>
                <w:rFonts w:cs="Times New Roman"/>
                <w:sz w:val="25"/>
                <w:szCs w:val="25"/>
              </w:rPr>
            </w:pPr>
            <w:r w:rsidRPr="00E5319C">
              <w:rPr>
                <w:rFonts w:cs="Times New Roman"/>
                <w:sz w:val="25"/>
                <w:szCs w:val="25"/>
              </w:rPr>
              <w:t>94.44%</w:t>
            </w:r>
          </w:p>
        </w:tc>
      </w:tr>
    </w:tbl>
    <w:p w:rsidR="006553B0" w:rsidRPr="00E5319C" w:rsidRDefault="006553B0" w:rsidP="006553B0">
      <w:pPr>
        <w:rPr>
          <w:rFonts w:cs="Times New Roman"/>
          <w:sz w:val="25"/>
          <w:szCs w:val="25"/>
        </w:rPr>
      </w:pPr>
    </w:p>
    <w:p w:rsidR="006553B0" w:rsidRPr="00E5319C" w:rsidRDefault="006553B0" w:rsidP="006553B0">
      <w:pPr>
        <w:rPr>
          <w:rFonts w:cs="Times New Roman"/>
          <w:sz w:val="25"/>
          <w:szCs w:val="25"/>
        </w:rPr>
      </w:pPr>
      <w:r w:rsidRPr="00E5319C">
        <w:rPr>
          <w:rFonts w:cs="Times New Roman"/>
          <w:sz w:val="25"/>
          <w:szCs w:val="25"/>
        </w:rPr>
        <w:t>Nisha C S of III BSc Physics and Arya Vincent of III BA Political Science got second and fourth rank, respectively, in CBCSS</w:t>
      </w:r>
      <w:r w:rsidR="00B8181F">
        <w:rPr>
          <w:rFonts w:cs="Times New Roman"/>
          <w:sz w:val="25"/>
          <w:szCs w:val="25"/>
        </w:rPr>
        <w:t xml:space="preserve"> examinations held in April 2016</w:t>
      </w:r>
      <w:r w:rsidRPr="00E5319C">
        <w:rPr>
          <w:rFonts w:cs="Times New Roman"/>
          <w:sz w:val="25"/>
          <w:szCs w:val="25"/>
        </w:rPr>
        <w:t>.</w:t>
      </w:r>
    </w:p>
    <w:p w:rsidR="006553B0" w:rsidRPr="00E5319C" w:rsidRDefault="006553B0" w:rsidP="006553B0">
      <w:pPr>
        <w:spacing w:line="360" w:lineRule="auto"/>
        <w:rPr>
          <w:b/>
          <w:sz w:val="25"/>
          <w:szCs w:val="25"/>
        </w:rPr>
      </w:pPr>
      <w:r w:rsidRPr="00E5319C">
        <w:rPr>
          <w:b/>
          <w:sz w:val="25"/>
          <w:szCs w:val="25"/>
        </w:rPr>
        <w:t>Teaching and Non-Teaching Faculty</w:t>
      </w:r>
    </w:p>
    <w:p w:rsidR="006553B0" w:rsidRPr="00E5319C" w:rsidRDefault="006553B0" w:rsidP="006553B0">
      <w:pPr>
        <w:spacing w:line="360" w:lineRule="auto"/>
        <w:ind w:firstLine="720"/>
        <w:rPr>
          <w:sz w:val="25"/>
          <w:szCs w:val="25"/>
        </w:rPr>
      </w:pPr>
      <w:r w:rsidRPr="00E5319C">
        <w:rPr>
          <w:sz w:val="25"/>
          <w:szCs w:val="25"/>
        </w:rPr>
        <w:t>At present, there are 65 permanent faculty members and 24 non-teaching members.  Out of the total teaching faculty members, five teachers</w:t>
      </w:r>
      <w:bookmarkStart w:id="0" w:name="_GoBack"/>
      <w:bookmarkEnd w:id="0"/>
      <w:r w:rsidRPr="00E5319C">
        <w:rPr>
          <w:sz w:val="25"/>
          <w:szCs w:val="25"/>
        </w:rPr>
        <w:t xml:space="preserve"> have been deputed for Phd under the Faculty Development Programme. </w:t>
      </w:r>
    </w:p>
    <w:p w:rsidR="006553B0" w:rsidRPr="00E5319C" w:rsidRDefault="006553B0" w:rsidP="006553B0">
      <w:pPr>
        <w:spacing w:line="360" w:lineRule="auto"/>
        <w:rPr>
          <w:b/>
          <w:sz w:val="25"/>
          <w:szCs w:val="25"/>
        </w:rPr>
      </w:pPr>
      <w:r w:rsidRPr="00E5319C">
        <w:rPr>
          <w:b/>
          <w:sz w:val="25"/>
          <w:szCs w:val="25"/>
        </w:rPr>
        <w:t>Awards and Achievents of Teaching Faculty</w:t>
      </w:r>
    </w:p>
    <w:p w:rsidR="006553B0" w:rsidRPr="00E5319C" w:rsidRDefault="006553B0" w:rsidP="006553B0">
      <w:pPr>
        <w:pStyle w:val="ListParagraph"/>
        <w:numPr>
          <w:ilvl w:val="0"/>
          <w:numId w:val="1"/>
        </w:numPr>
        <w:spacing w:line="360" w:lineRule="auto"/>
        <w:rPr>
          <w:rFonts w:asciiTheme="minorHAnsi" w:hAnsiTheme="minorHAnsi"/>
          <w:sz w:val="25"/>
          <w:szCs w:val="25"/>
        </w:rPr>
      </w:pPr>
      <w:r w:rsidRPr="00E5319C">
        <w:rPr>
          <w:rFonts w:asciiTheme="minorHAnsi" w:hAnsiTheme="minorHAnsi"/>
          <w:sz w:val="25"/>
          <w:szCs w:val="25"/>
        </w:rPr>
        <w:t xml:space="preserve">Dr.Sigma G R (Faculty, Department of English) received the Mirabhai Literary Award from the Government of Odisha. </w:t>
      </w:r>
    </w:p>
    <w:p w:rsidR="006553B0" w:rsidRPr="00E5319C" w:rsidRDefault="006553B0" w:rsidP="006553B0">
      <w:pPr>
        <w:pStyle w:val="ListParagraph"/>
        <w:numPr>
          <w:ilvl w:val="0"/>
          <w:numId w:val="1"/>
        </w:numPr>
        <w:spacing w:line="360" w:lineRule="auto"/>
        <w:rPr>
          <w:rFonts w:asciiTheme="minorHAnsi" w:hAnsiTheme="minorHAnsi"/>
          <w:sz w:val="25"/>
          <w:szCs w:val="25"/>
        </w:rPr>
      </w:pPr>
      <w:r w:rsidRPr="00E5319C">
        <w:rPr>
          <w:rFonts w:asciiTheme="minorHAnsi" w:hAnsiTheme="minorHAnsi"/>
          <w:sz w:val="25"/>
          <w:szCs w:val="25"/>
        </w:rPr>
        <w:t>DrAjithaKumari (Faculty, Department of Tamil) was awarded a grant of Rs 40,000/- for the project “Bilingual Aspects of Nair Community in Kanyakumari District” from UGC</w:t>
      </w:r>
    </w:p>
    <w:p w:rsidR="006553B0" w:rsidRPr="00E5319C" w:rsidRDefault="006553B0" w:rsidP="006553B0">
      <w:pPr>
        <w:pStyle w:val="ListParagraph"/>
        <w:numPr>
          <w:ilvl w:val="0"/>
          <w:numId w:val="1"/>
        </w:numPr>
        <w:spacing w:line="360" w:lineRule="auto"/>
        <w:rPr>
          <w:rFonts w:asciiTheme="minorHAnsi" w:hAnsiTheme="minorHAnsi"/>
          <w:sz w:val="25"/>
          <w:szCs w:val="25"/>
        </w:rPr>
      </w:pPr>
      <w:r w:rsidRPr="00E5319C">
        <w:rPr>
          <w:rFonts w:asciiTheme="minorHAnsi" w:hAnsiTheme="minorHAnsi"/>
          <w:sz w:val="25"/>
          <w:szCs w:val="25"/>
        </w:rPr>
        <w:t>Dr. Deepa V (Faculty, Department of Physics) received a grant of 26,25,000/ for the project “A multi wave length integrating nephelometer for characterizing tropospheric aerosol” from KSCSTE</w:t>
      </w:r>
    </w:p>
    <w:p w:rsidR="00F53B58" w:rsidRPr="00E5319C" w:rsidRDefault="006553B0" w:rsidP="00365DD8">
      <w:pPr>
        <w:pStyle w:val="ListParagraph"/>
        <w:numPr>
          <w:ilvl w:val="0"/>
          <w:numId w:val="1"/>
        </w:numPr>
        <w:spacing w:line="360" w:lineRule="auto"/>
        <w:rPr>
          <w:rFonts w:asciiTheme="minorHAnsi" w:hAnsiTheme="minorHAnsi"/>
          <w:sz w:val="25"/>
          <w:szCs w:val="25"/>
        </w:rPr>
      </w:pPr>
      <w:r w:rsidRPr="00E5319C">
        <w:rPr>
          <w:rFonts w:asciiTheme="minorHAnsi" w:hAnsiTheme="minorHAnsi"/>
          <w:sz w:val="25"/>
          <w:szCs w:val="25"/>
        </w:rPr>
        <w:t>Dr. Ratheesh Kumar V.K (Faculty, Department of Chemistry) received a grant of Rs 3,07,500/- for the project “Design and development of photoactive ligands for transition and inner transition metal complexes” from UGC</w:t>
      </w:r>
    </w:p>
    <w:sectPr w:rsidR="00F53B58" w:rsidRPr="00E5319C" w:rsidSect="006C11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BB" w:rsidRDefault="006B56BB" w:rsidP="00920873">
      <w:pPr>
        <w:spacing w:after="0" w:line="240" w:lineRule="auto"/>
      </w:pPr>
      <w:r>
        <w:separator/>
      </w:r>
    </w:p>
  </w:endnote>
  <w:endnote w:type="continuationSeparator" w:id="1">
    <w:p w:rsidR="006B56BB" w:rsidRDefault="006B56BB" w:rsidP="00920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0F" w:rsidRDefault="006C1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66723"/>
      <w:docPartObj>
        <w:docPartGallery w:val="Page Numbers (Bottom of Page)"/>
        <w:docPartUnique/>
      </w:docPartObj>
    </w:sdtPr>
    <w:sdtEndPr>
      <w:rPr>
        <w:noProof/>
      </w:rPr>
    </w:sdtEndPr>
    <w:sdtContent>
      <w:p w:rsidR="006C110F" w:rsidRDefault="00D7408E">
        <w:pPr>
          <w:pStyle w:val="Footer"/>
          <w:jc w:val="center"/>
        </w:pPr>
        <w:r>
          <w:fldChar w:fldCharType="begin"/>
        </w:r>
        <w:r w:rsidR="006C110F">
          <w:instrText xml:space="preserve"> PAGE   \* MERGEFORMAT </w:instrText>
        </w:r>
        <w:r>
          <w:fldChar w:fldCharType="separate"/>
        </w:r>
        <w:r w:rsidR="00E5633E">
          <w:rPr>
            <w:noProof/>
          </w:rPr>
          <w:t>1</w:t>
        </w:r>
        <w:r>
          <w:rPr>
            <w:noProof/>
          </w:rPr>
          <w:fldChar w:fldCharType="end"/>
        </w:r>
      </w:p>
    </w:sdtContent>
  </w:sdt>
  <w:p w:rsidR="00920873" w:rsidRDefault="00920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0F" w:rsidRDefault="006C1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BB" w:rsidRDefault="006B56BB" w:rsidP="00920873">
      <w:pPr>
        <w:spacing w:after="0" w:line="240" w:lineRule="auto"/>
      </w:pPr>
      <w:r>
        <w:separator/>
      </w:r>
    </w:p>
  </w:footnote>
  <w:footnote w:type="continuationSeparator" w:id="1">
    <w:p w:rsidR="006B56BB" w:rsidRDefault="006B56BB" w:rsidP="00920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0F" w:rsidRDefault="006C1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0F" w:rsidRDefault="006C11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0F" w:rsidRDefault="006C1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5CE"/>
      </v:shape>
    </w:pict>
  </w:numPicBullet>
  <w:abstractNum w:abstractNumId="0">
    <w:nsid w:val="5A8C6692"/>
    <w:multiLevelType w:val="hybridMultilevel"/>
    <w:tmpl w:val="971C82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553B0"/>
    <w:rsid w:val="002B0520"/>
    <w:rsid w:val="00365DD8"/>
    <w:rsid w:val="003972E7"/>
    <w:rsid w:val="003B495E"/>
    <w:rsid w:val="00436A38"/>
    <w:rsid w:val="006553B0"/>
    <w:rsid w:val="006B56BB"/>
    <w:rsid w:val="006C110F"/>
    <w:rsid w:val="00920873"/>
    <w:rsid w:val="00B8181F"/>
    <w:rsid w:val="00BF7F61"/>
    <w:rsid w:val="00C23C59"/>
    <w:rsid w:val="00CE0594"/>
    <w:rsid w:val="00D7408E"/>
    <w:rsid w:val="00DF1B83"/>
    <w:rsid w:val="00E5319C"/>
    <w:rsid w:val="00E5633E"/>
    <w:rsid w:val="00F53B5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B0"/>
    <w:pPr>
      <w:tabs>
        <w:tab w:val="left" w:pos="720"/>
      </w:tabs>
      <w:suppressAutoHyphens/>
      <w:spacing w:after="0"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65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73"/>
  </w:style>
  <w:style w:type="paragraph" w:styleId="Footer">
    <w:name w:val="footer"/>
    <w:basedOn w:val="Normal"/>
    <w:link w:val="FooterChar"/>
    <w:uiPriority w:val="99"/>
    <w:unhideWhenUsed/>
    <w:rsid w:val="0092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B0"/>
    <w:pPr>
      <w:tabs>
        <w:tab w:val="left" w:pos="720"/>
      </w:tabs>
      <w:suppressAutoHyphens/>
      <w:spacing w:after="0"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65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73"/>
  </w:style>
  <w:style w:type="paragraph" w:styleId="Footer">
    <w:name w:val="footer"/>
    <w:basedOn w:val="Normal"/>
    <w:link w:val="FooterChar"/>
    <w:uiPriority w:val="99"/>
    <w:unhideWhenUsed/>
    <w:rsid w:val="0092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73"/>
  </w:style>
</w:styles>
</file>

<file path=word/webSettings.xml><?xml version="1.0" encoding="utf-8"?>
<w:webSettings xmlns:r="http://schemas.openxmlformats.org/officeDocument/2006/relationships" xmlns:w="http://schemas.openxmlformats.org/wordprocessingml/2006/main">
  <w:divs>
    <w:div w:id="18739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10</cp:revision>
  <dcterms:created xsi:type="dcterms:W3CDTF">2018-07-06T17:51:00Z</dcterms:created>
  <dcterms:modified xsi:type="dcterms:W3CDTF">2018-09-21T18:47:00Z</dcterms:modified>
</cp:coreProperties>
</file>