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02" w:rsidRDefault="00731002" w:rsidP="00731002">
      <w:pPr>
        <w:tabs>
          <w:tab w:val="left" w:pos="0"/>
          <w:tab w:val="center" w:pos="4873"/>
        </w:tabs>
        <w:spacing w:after="0" w:line="360" w:lineRule="auto"/>
        <w:jc w:val="center"/>
        <w:rPr>
          <w:rFonts w:ascii="Trebuchet MS" w:eastAsia="Times New Roman" w:hAnsi="Trebuchet MS" w:cs="Times New Roman"/>
          <w:b/>
          <w:sz w:val="25"/>
          <w:szCs w:val="25"/>
        </w:rPr>
      </w:pPr>
      <w:r>
        <w:rPr>
          <w:rFonts w:ascii="Trebuchet MS" w:eastAsia="Times New Roman" w:hAnsi="Trebuchet MS" w:cs="Times New Roman"/>
          <w:b/>
          <w:sz w:val="25"/>
          <w:szCs w:val="25"/>
        </w:rPr>
        <w:t>Annual Report 2014-15</w:t>
      </w:r>
    </w:p>
    <w:p w:rsidR="00731002" w:rsidRDefault="00731002" w:rsidP="009651A5">
      <w:pPr>
        <w:tabs>
          <w:tab w:val="left" w:pos="0"/>
          <w:tab w:val="center" w:pos="4873"/>
        </w:tabs>
        <w:spacing w:after="0" w:line="360" w:lineRule="auto"/>
        <w:jc w:val="both"/>
        <w:rPr>
          <w:rFonts w:ascii="Arial" w:eastAsia="Times New Roman" w:hAnsi="Arial" w:cs="Arial"/>
          <w:sz w:val="26"/>
          <w:szCs w:val="26"/>
        </w:rPr>
      </w:pPr>
    </w:p>
    <w:p w:rsidR="009651A5" w:rsidRDefault="009651A5" w:rsidP="009651A5">
      <w:pPr>
        <w:tabs>
          <w:tab w:val="left" w:pos="0"/>
          <w:tab w:val="center" w:pos="4873"/>
        </w:tabs>
        <w:spacing w:after="0" w:line="360" w:lineRule="auto"/>
        <w:jc w:val="both"/>
        <w:rPr>
          <w:rFonts w:ascii="Arial" w:eastAsia="Times New Roman" w:hAnsi="Arial" w:cs="Arial"/>
          <w:sz w:val="26"/>
          <w:szCs w:val="26"/>
        </w:rPr>
      </w:pPr>
      <w:r w:rsidRPr="00241B9A">
        <w:rPr>
          <w:rFonts w:ascii="Arial" w:eastAsia="Times New Roman" w:hAnsi="Arial" w:cs="Arial"/>
          <w:sz w:val="26"/>
          <w:szCs w:val="26"/>
        </w:rPr>
        <w:t>VTM N S S College, Dhanuvachapuram, affiliated to the University of Kerala, is one of the most prestigious institutions of Nair Service Society. The college, establishe</w:t>
      </w:r>
      <w:r w:rsidR="008B58CF">
        <w:rPr>
          <w:rFonts w:ascii="Arial" w:eastAsia="Times New Roman" w:hAnsi="Arial" w:cs="Arial"/>
          <w:sz w:val="26"/>
          <w:szCs w:val="26"/>
        </w:rPr>
        <w:t>d in the year 1964, completed 50</w:t>
      </w:r>
      <w:r w:rsidRPr="00241B9A">
        <w:rPr>
          <w:rFonts w:ascii="Arial" w:eastAsia="Times New Roman" w:hAnsi="Arial" w:cs="Arial"/>
          <w:sz w:val="26"/>
          <w:szCs w:val="26"/>
        </w:rPr>
        <w:t xml:space="preserve"> years of illustrious social service imparting </w:t>
      </w:r>
      <w:r>
        <w:rPr>
          <w:rFonts w:ascii="Arial" w:eastAsia="Times New Roman" w:hAnsi="Arial" w:cs="Arial"/>
          <w:sz w:val="26"/>
          <w:szCs w:val="26"/>
        </w:rPr>
        <w:t>quality</w:t>
      </w:r>
      <w:r>
        <w:rPr>
          <w:rFonts w:ascii="Arial" w:eastAsia="Times New Roman" w:hAnsi="Arial" w:cs="Arial"/>
          <w:sz w:val="26"/>
          <w:szCs w:val="26"/>
        </w:rPr>
        <w:tab/>
      </w:r>
      <w:r w:rsidRPr="00241B9A">
        <w:rPr>
          <w:rFonts w:ascii="Arial" w:eastAsia="Times New Roman" w:hAnsi="Arial" w:cs="Arial"/>
          <w:sz w:val="26"/>
          <w:szCs w:val="26"/>
        </w:rPr>
        <w:t xml:space="preserve"> education. </w:t>
      </w:r>
      <w:r>
        <w:rPr>
          <w:rFonts w:ascii="Arial" w:eastAsia="Gill Sans MT" w:hAnsi="Arial" w:cs="Arial"/>
          <w:iCs/>
          <w:sz w:val="26"/>
          <w:szCs w:val="26"/>
        </w:rPr>
        <w:t>The institution, with a glorious past and a</w:t>
      </w:r>
      <w:r w:rsidRPr="00241B9A">
        <w:rPr>
          <w:rFonts w:ascii="Arial" w:eastAsia="Gill Sans MT" w:hAnsi="Arial" w:cs="Arial"/>
          <w:iCs/>
          <w:sz w:val="26"/>
          <w:szCs w:val="26"/>
        </w:rPr>
        <w:t xml:space="preserve"> cultural heritage</w:t>
      </w:r>
      <w:r>
        <w:rPr>
          <w:rFonts w:ascii="Arial" w:eastAsia="Gill Sans MT" w:hAnsi="Arial" w:cs="Arial"/>
          <w:iCs/>
          <w:sz w:val="26"/>
          <w:szCs w:val="26"/>
        </w:rPr>
        <w:t>, serves as a centre of learning to the</w:t>
      </w:r>
      <w:r w:rsidRPr="00241B9A">
        <w:rPr>
          <w:rFonts w:ascii="Arial" w:eastAsia="Gill Sans MT" w:hAnsi="Arial" w:cs="Arial"/>
          <w:iCs/>
          <w:sz w:val="26"/>
          <w:szCs w:val="26"/>
        </w:rPr>
        <w:t xml:space="preserve"> surrounding rural population.</w:t>
      </w:r>
      <w:r w:rsidRPr="00241B9A">
        <w:rPr>
          <w:rFonts w:ascii="Arial" w:eastAsia="Gill Sans MT" w:hAnsi="Arial" w:cs="Arial"/>
          <w:iCs/>
          <w:sz w:val="26"/>
          <w:szCs w:val="26"/>
        </w:rPr>
        <w:tab/>
      </w:r>
      <w:r w:rsidRPr="00241B9A">
        <w:rPr>
          <w:rFonts w:ascii="Arial" w:eastAsia="Times New Roman" w:hAnsi="Arial" w:cs="Arial"/>
          <w:sz w:val="26"/>
          <w:szCs w:val="26"/>
        </w:rPr>
        <w:t xml:space="preserve">The college as a whole aims at inculcating a suitable </w:t>
      </w:r>
      <w:r>
        <w:rPr>
          <w:rFonts w:ascii="Arial" w:eastAsia="Times New Roman" w:hAnsi="Arial" w:cs="Arial"/>
          <w:sz w:val="26"/>
          <w:szCs w:val="26"/>
        </w:rPr>
        <w:t xml:space="preserve">knowledge base </w:t>
      </w:r>
      <w:r w:rsidRPr="00241B9A">
        <w:rPr>
          <w:rFonts w:ascii="Arial" w:eastAsia="Times New Roman" w:hAnsi="Arial" w:cs="Arial"/>
          <w:sz w:val="26"/>
          <w:szCs w:val="26"/>
        </w:rPr>
        <w:t>for the students to enhance their ability</w:t>
      </w:r>
      <w:r>
        <w:rPr>
          <w:rFonts w:ascii="Arial" w:eastAsia="Times New Roman" w:hAnsi="Arial" w:cs="Arial"/>
          <w:sz w:val="26"/>
          <w:szCs w:val="26"/>
        </w:rPr>
        <w:t xml:space="preserve"> holistically. </w:t>
      </w:r>
      <w:r w:rsidRPr="00241B9A">
        <w:rPr>
          <w:rFonts w:ascii="Arial" w:eastAsia="Times New Roman" w:hAnsi="Arial" w:cs="Arial"/>
          <w:sz w:val="26"/>
          <w:szCs w:val="26"/>
        </w:rPr>
        <w:t>In accordance with the institution’s vision to disseminate knowledge and to create professionally equipped and responsible citizens of the society, it recognizes the need to instill quality education and academic excellence among the students. Presently, the institution offers 11 FDP courses and 4 PG courses. It also offers value added courses in</w:t>
      </w:r>
      <w:r w:rsidRPr="00241B9A">
        <w:rPr>
          <w:rFonts w:ascii="Arial" w:eastAsia="Gill Sans MT" w:hAnsi="Arial" w:cs="Arial"/>
          <w:iCs/>
          <w:sz w:val="26"/>
          <w:szCs w:val="26"/>
        </w:rPr>
        <w:t xml:space="preserve"> addition to the university prescribed curriculum.</w:t>
      </w:r>
      <w:r w:rsidRPr="00241B9A">
        <w:rPr>
          <w:rFonts w:ascii="Arial" w:eastAsia="Times New Roman" w:hAnsi="Arial" w:cs="Arial"/>
          <w:sz w:val="26"/>
          <w:szCs w:val="26"/>
        </w:rPr>
        <w:t xml:space="preserve"> The college is a beacon of excellence in the realm of education and enables the learners to attain proficiency in strategic and life skills by keeping abreast its vision, mission and goals in its relationship with the society and the nation at large.</w:t>
      </w:r>
    </w:p>
    <w:p w:rsidR="009651A5" w:rsidRPr="00241B9A" w:rsidRDefault="009651A5" w:rsidP="009651A5">
      <w:pPr>
        <w:tabs>
          <w:tab w:val="left" w:pos="0"/>
          <w:tab w:val="center" w:pos="4873"/>
        </w:tabs>
        <w:spacing w:after="0" w:line="360" w:lineRule="auto"/>
        <w:jc w:val="both"/>
        <w:rPr>
          <w:rFonts w:ascii="Arial" w:eastAsia="Times New Roman" w:hAnsi="Arial" w:cs="Arial"/>
          <w:sz w:val="26"/>
          <w:szCs w:val="26"/>
        </w:rPr>
      </w:pPr>
      <w:r w:rsidRPr="00241B9A">
        <w:rPr>
          <w:rFonts w:ascii="Arial" w:eastAsia="Times New Roman" w:hAnsi="Arial" w:cs="Arial"/>
          <w:sz w:val="26"/>
          <w:szCs w:val="26"/>
        </w:rPr>
        <w:t xml:space="preserve">          The </w:t>
      </w:r>
      <w:r>
        <w:rPr>
          <w:rFonts w:ascii="Arial" w:eastAsia="Times New Roman" w:hAnsi="Arial" w:cs="Arial"/>
          <w:sz w:val="26"/>
          <w:szCs w:val="26"/>
        </w:rPr>
        <w:t xml:space="preserve">annual </w:t>
      </w:r>
      <w:r w:rsidRPr="00241B9A">
        <w:rPr>
          <w:rFonts w:ascii="Arial" w:eastAsia="Times New Roman" w:hAnsi="Arial" w:cs="Arial"/>
          <w:sz w:val="26"/>
          <w:szCs w:val="26"/>
        </w:rPr>
        <w:t>report</w:t>
      </w:r>
      <w:r>
        <w:rPr>
          <w:rFonts w:ascii="Arial" w:eastAsia="Times New Roman" w:hAnsi="Arial" w:cs="Arial"/>
          <w:sz w:val="26"/>
          <w:szCs w:val="26"/>
        </w:rPr>
        <w:t xml:space="preserve"> of 2014-15 </w:t>
      </w:r>
      <w:r w:rsidRPr="00241B9A">
        <w:rPr>
          <w:rFonts w:ascii="Arial" w:eastAsia="Times New Roman" w:hAnsi="Arial" w:cs="Arial"/>
          <w:sz w:val="26"/>
          <w:szCs w:val="26"/>
        </w:rPr>
        <w:t>is a</w:t>
      </w:r>
      <w:r>
        <w:rPr>
          <w:rFonts w:ascii="Arial" w:eastAsia="Times New Roman" w:hAnsi="Arial" w:cs="Arial"/>
          <w:sz w:val="26"/>
          <w:szCs w:val="26"/>
        </w:rPr>
        <w:t>n all-inclusive</w:t>
      </w:r>
      <w:r w:rsidRPr="00241B9A">
        <w:rPr>
          <w:rFonts w:ascii="Arial" w:eastAsia="Times New Roman" w:hAnsi="Arial" w:cs="Arial"/>
          <w:sz w:val="26"/>
          <w:szCs w:val="26"/>
        </w:rPr>
        <w:t xml:space="preserve"> analysis of a </w:t>
      </w:r>
      <w:r>
        <w:rPr>
          <w:rFonts w:ascii="Arial" w:eastAsia="Times New Roman" w:hAnsi="Arial" w:cs="Arial"/>
          <w:sz w:val="26"/>
          <w:szCs w:val="26"/>
        </w:rPr>
        <w:t>variety</w:t>
      </w:r>
      <w:r w:rsidRPr="00241B9A">
        <w:rPr>
          <w:rFonts w:ascii="Arial" w:eastAsia="Times New Roman" w:hAnsi="Arial" w:cs="Arial"/>
          <w:sz w:val="26"/>
          <w:szCs w:val="26"/>
        </w:rPr>
        <w:t xml:space="preserve"> of activities and accomplishments carried out during the academic year</w:t>
      </w:r>
      <w:r>
        <w:rPr>
          <w:rFonts w:ascii="Arial" w:eastAsia="Times New Roman" w:hAnsi="Arial" w:cs="Arial"/>
          <w:sz w:val="26"/>
          <w:szCs w:val="26"/>
        </w:rPr>
        <w:t xml:space="preserve">. </w:t>
      </w:r>
      <w:r w:rsidRPr="00241B9A">
        <w:rPr>
          <w:rFonts w:ascii="Arial" w:eastAsia="Times New Roman" w:hAnsi="Arial" w:cs="Arial"/>
          <w:sz w:val="26"/>
          <w:szCs w:val="26"/>
        </w:rPr>
        <w:t>It includes infrastructural developments, teaching-learning outcomes, research and extension activities, and best practices. The institution strives forward with its greatest strength in offering quality education to a heterogeneous student community.</w:t>
      </w:r>
    </w:p>
    <w:p w:rsidR="009651A5" w:rsidRDefault="009651A5" w:rsidP="009651A5">
      <w:pPr>
        <w:tabs>
          <w:tab w:val="left" w:pos="0"/>
          <w:tab w:val="center" w:pos="4873"/>
        </w:tabs>
        <w:spacing w:after="0" w:line="360" w:lineRule="auto"/>
        <w:jc w:val="both"/>
        <w:rPr>
          <w:rFonts w:ascii="Arial" w:eastAsia="Times New Roman" w:hAnsi="Arial" w:cs="Arial"/>
          <w:b/>
          <w:sz w:val="26"/>
          <w:szCs w:val="26"/>
        </w:rPr>
      </w:pPr>
    </w:p>
    <w:p w:rsidR="009651A5" w:rsidRPr="00241B9A" w:rsidRDefault="009651A5" w:rsidP="009651A5">
      <w:pPr>
        <w:tabs>
          <w:tab w:val="left" w:pos="0"/>
          <w:tab w:val="center" w:pos="4873"/>
        </w:tabs>
        <w:spacing w:after="0" w:line="360" w:lineRule="auto"/>
        <w:jc w:val="both"/>
        <w:rPr>
          <w:rFonts w:ascii="Arial" w:eastAsia="Times New Roman" w:hAnsi="Arial" w:cs="Arial"/>
          <w:b/>
          <w:sz w:val="26"/>
          <w:szCs w:val="26"/>
        </w:rPr>
      </w:pPr>
      <w:r w:rsidRPr="00241B9A">
        <w:rPr>
          <w:rFonts w:ascii="Arial" w:eastAsia="Times New Roman" w:hAnsi="Arial" w:cs="Arial"/>
          <w:b/>
          <w:sz w:val="26"/>
          <w:szCs w:val="26"/>
        </w:rPr>
        <w:t>University Results</w:t>
      </w:r>
    </w:p>
    <w:p w:rsidR="009651A5" w:rsidRPr="00241B9A" w:rsidRDefault="009651A5" w:rsidP="009651A5">
      <w:pPr>
        <w:tabs>
          <w:tab w:val="left" w:pos="0"/>
          <w:tab w:val="center" w:pos="4873"/>
        </w:tabs>
        <w:spacing w:after="0" w:line="360" w:lineRule="auto"/>
        <w:jc w:val="both"/>
        <w:rPr>
          <w:rFonts w:ascii="Arial" w:eastAsia="Times New Roman" w:hAnsi="Arial" w:cs="Arial"/>
          <w:sz w:val="26"/>
          <w:szCs w:val="26"/>
        </w:rPr>
      </w:pPr>
      <w:r w:rsidRPr="00241B9A">
        <w:rPr>
          <w:rFonts w:ascii="Arial" w:eastAsia="Times New Roman" w:hAnsi="Arial" w:cs="Arial"/>
          <w:sz w:val="26"/>
          <w:szCs w:val="26"/>
        </w:rPr>
        <w:tab/>
        <w:t xml:space="preserve">           The year 2014-15 becomes significant as the institution achieved commendable success both in the academic and administrative arena. The University results of 2013-14 have been meritorious and the results of both the </w:t>
      </w:r>
      <w:r w:rsidRPr="00241B9A">
        <w:rPr>
          <w:rFonts w:ascii="Arial" w:eastAsia="Times New Roman" w:hAnsi="Arial" w:cs="Arial"/>
          <w:sz w:val="26"/>
          <w:szCs w:val="26"/>
        </w:rPr>
        <w:lastRenderedPageBreak/>
        <w:t xml:space="preserve">undergraduate programmes and masters were better than the University pass percentage. The results of UG and PG programmes are as below:   </w:t>
      </w:r>
    </w:p>
    <w:p w:rsidR="009651A5" w:rsidRPr="00241B9A" w:rsidRDefault="009651A5" w:rsidP="009651A5">
      <w:pPr>
        <w:tabs>
          <w:tab w:val="left" w:pos="0"/>
          <w:tab w:val="center" w:pos="4873"/>
        </w:tabs>
        <w:spacing w:after="0" w:line="360" w:lineRule="auto"/>
        <w:jc w:val="both"/>
        <w:rPr>
          <w:rFonts w:ascii="Arial" w:eastAsia="Times New Roman" w:hAnsi="Arial" w:cs="Arial"/>
          <w:sz w:val="26"/>
          <w:szCs w:val="26"/>
        </w:rPr>
      </w:pPr>
    </w:p>
    <w:tbl>
      <w:tblPr>
        <w:tblStyle w:val="TableGrid"/>
        <w:tblW w:w="2726" w:type="pct"/>
        <w:tblInd w:w="1728" w:type="dxa"/>
        <w:tblLook w:val="04A0"/>
      </w:tblPr>
      <w:tblGrid>
        <w:gridCol w:w="3061"/>
        <w:gridCol w:w="2160"/>
      </w:tblGrid>
      <w:tr w:rsidR="009651A5" w:rsidRPr="00241B9A" w:rsidTr="00A72C8C">
        <w:trPr>
          <w:trHeight w:val="1160"/>
        </w:trPr>
        <w:tc>
          <w:tcPr>
            <w:tcW w:w="2931" w:type="pct"/>
          </w:tcPr>
          <w:p w:rsidR="009651A5" w:rsidRPr="00241B9A" w:rsidRDefault="009651A5" w:rsidP="00A72C8C">
            <w:pPr>
              <w:spacing w:line="360" w:lineRule="auto"/>
              <w:jc w:val="center"/>
              <w:rPr>
                <w:rFonts w:ascii="Arial" w:hAnsi="Arial" w:cs="Arial"/>
                <w:b/>
                <w:sz w:val="26"/>
                <w:szCs w:val="26"/>
              </w:rPr>
            </w:pPr>
            <w:r w:rsidRPr="00241B9A">
              <w:rPr>
                <w:rFonts w:ascii="Arial" w:hAnsi="Arial" w:cs="Arial"/>
                <w:b/>
                <w:sz w:val="26"/>
                <w:szCs w:val="26"/>
              </w:rPr>
              <w:t>Name of the</w:t>
            </w:r>
          </w:p>
          <w:p w:rsidR="009651A5" w:rsidRPr="00241B9A" w:rsidRDefault="009651A5" w:rsidP="00A72C8C">
            <w:pPr>
              <w:spacing w:line="360" w:lineRule="auto"/>
              <w:jc w:val="center"/>
              <w:rPr>
                <w:rFonts w:ascii="Arial" w:hAnsi="Arial" w:cs="Arial"/>
                <w:b/>
                <w:sz w:val="26"/>
                <w:szCs w:val="26"/>
              </w:rPr>
            </w:pPr>
            <w:r w:rsidRPr="00241B9A">
              <w:rPr>
                <w:rFonts w:ascii="Arial" w:hAnsi="Arial" w:cs="Arial"/>
                <w:b/>
                <w:sz w:val="26"/>
                <w:szCs w:val="26"/>
              </w:rPr>
              <w:t>Programme</w:t>
            </w:r>
          </w:p>
          <w:p w:rsidR="009651A5" w:rsidRPr="00241B9A" w:rsidRDefault="009651A5" w:rsidP="00A72C8C">
            <w:pPr>
              <w:spacing w:line="360" w:lineRule="auto"/>
              <w:jc w:val="center"/>
              <w:rPr>
                <w:rFonts w:ascii="Arial" w:hAnsi="Arial" w:cs="Arial"/>
                <w:b/>
                <w:sz w:val="26"/>
                <w:szCs w:val="26"/>
              </w:rPr>
            </w:pPr>
          </w:p>
        </w:tc>
        <w:tc>
          <w:tcPr>
            <w:tcW w:w="2069" w:type="pct"/>
          </w:tcPr>
          <w:p w:rsidR="009651A5" w:rsidRPr="00241B9A" w:rsidRDefault="009651A5" w:rsidP="00A72C8C">
            <w:pPr>
              <w:spacing w:line="360" w:lineRule="auto"/>
              <w:jc w:val="center"/>
              <w:rPr>
                <w:rFonts w:ascii="Arial" w:hAnsi="Arial" w:cs="Arial"/>
                <w:b/>
                <w:sz w:val="26"/>
                <w:szCs w:val="26"/>
              </w:rPr>
            </w:pPr>
            <w:r w:rsidRPr="00241B9A">
              <w:rPr>
                <w:rFonts w:ascii="Arial" w:hAnsi="Arial" w:cs="Arial"/>
                <w:b/>
                <w:sz w:val="26"/>
                <w:szCs w:val="26"/>
              </w:rPr>
              <w:t>Pass</w:t>
            </w:r>
          </w:p>
          <w:p w:rsidR="009651A5" w:rsidRPr="00241B9A" w:rsidRDefault="009651A5" w:rsidP="00A72C8C">
            <w:pPr>
              <w:spacing w:line="360" w:lineRule="auto"/>
              <w:jc w:val="center"/>
              <w:rPr>
                <w:rFonts w:ascii="Arial" w:hAnsi="Arial" w:cs="Arial"/>
                <w:b/>
                <w:sz w:val="26"/>
                <w:szCs w:val="26"/>
              </w:rPr>
            </w:pPr>
            <w:r w:rsidRPr="00241B9A">
              <w:rPr>
                <w:rFonts w:ascii="Arial" w:hAnsi="Arial" w:cs="Arial"/>
                <w:b/>
                <w:sz w:val="26"/>
                <w:szCs w:val="26"/>
              </w:rPr>
              <w:t>Percentage</w:t>
            </w:r>
          </w:p>
        </w:tc>
      </w:tr>
      <w:tr w:rsidR="009651A5" w:rsidRPr="00241B9A" w:rsidTr="00A72C8C">
        <w:trPr>
          <w:trHeight w:val="266"/>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FDP in English</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89.57%</w:t>
            </w:r>
          </w:p>
        </w:tc>
      </w:tr>
      <w:tr w:rsidR="009651A5" w:rsidRPr="00241B9A" w:rsidTr="00A72C8C">
        <w:trPr>
          <w:trHeight w:val="266"/>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FDP in Malayalam</w:t>
            </w: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98.18%</w:t>
            </w:r>
          </w:p>
        </w:tc>
      </w:tr>
      <w:tr w:rsidR="009651A5" w:rsidRPr="00241B9A" w:rsidTr="00A72C8C">
        <w:trPr>
          <w:trHeight w:val="532"/>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FDP in Political Science</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55.22%</w:t>
            </w:r>
          </w:p>
        </w:tc>
      </w:tr>
      <w:tr w:rsidR="009651A5" w:rsidRPr="00241B9A" w:rsidTr="00A72C8C">
        <w:trPr>
          <w:trHeight w:val="279"/>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FDP in History</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54.83%</w:t>
            </w:r>
          </w:p>
        </w:tc>
      </w:tr>
      <w:tr w:rsidR="009651A5" w:rsidRPr="00241B9A" w:rsidTr="00A72C8C">
        <w:trPr>
          <w:trHeight w:val="266"/>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FDP in Economics</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65.2%</w:t>
            </w:r>
          </w:p>
        </w:tc>
      </w:tr>
      <w:tr w:rsidR="009651A5" w:rsidRPr="00241B9A" w:rsidTr="00A72C8C">
        <w:trPr>
          <w:trHeight w:val="266"/>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FDP in Mathematics</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87.76%</w:t>
            </w:r>
          </w:p>
        </w:tc>
      </w:tr>
      <w:tr w:rsidR="009651A5" w:rsidRPr="00241B9A" w:rsidTr="00A72C8C">
        <w:trPr>
          <w:trHeight w:val="266"/>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FDP in Physics</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87.5%</w:t>
            </w:r>
          </w:p>
        </w:tc>
      </w:tr>
      <w:tr w:rsidR="009651A5" w:rsidRPr="00241B9A" w:rsidTr="00A72C8C">
        <w:trPr>
          <w:trHeight w:val="266"/>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FDP in Chemistry</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79.5%</w:t>
            </w:r>
          </w:p>
        </w:tc>
      </w:tr>
      <w:tr w:rsidR="009651A5" w:rsidRPr="00241B9A" w:rsidTr="00A72C8C">
        <w:trPr>
          <w:trHeight w:val="266"/>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FDP in Botany</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88.55%</w:t>
            </w:r>
          </w:p>
        </w:tc>
      </w:tr>
      <w:tr w:rsidR="009651A5" w:rsidRPr="00241B9A" w:rsidTr="00A72C8C">
        <w:trPr>
          <w:trHeight w:val="266"/>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FDP in Zoology</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78.12%</w:t>
            </w:r>
          </w:p>
        </w:tc>
      </w:tr>
      <w:tr w:rsidR="009651A5" w:rsidRPr="00241B9A" w:rsidTr="00A72C8C">
        <w:trPr>
          <w:trHeight w:val="266"/>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FDP in Commerce</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70.31%</w:t>
            </w:r>
          </w:p>
        </w:tc>
      </w:tr>
      <w:tr w:rsidR="009651A5" w:rsidRPr="00241B9A" w:rsidTr="00A72C8C">
        <w:trPr>
          <w:trHeight w:val="532"/>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PG in</w:t>
            </w:r>
          </w:p>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English</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94.72%</w:t>
            </w:r>
          </w:p>
        </w:tc>
      </w:tr>
      <w:tr w:rsidR="009651A5" w:rsidRPr="00241B9A" w:rsidTr="00A72C8C">
        <w:trPr>
          <w:trHeight w:val="545"/>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lastRenderedPageBreak/>
              <w:t>PG in</w:t>
            </w:r>
          </w:p>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History</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75%</w:t>
            </w:r>
          </w:p>
        </w:tc>
      </w:tr>
      <w:tr w:rsidR="009651A5" w:rsidRPr="00241B9A" w:rsidTr="00A72C8C">
        <w:trPr>
          <w:trHeight w:val="266"/>
        </w:trPr>
        <w:tc>
          <w:tcPr>
            <w:tcW w:w="2931"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PG in Commerce</w:t>
            </w:r>
          </w:p>
          <w:p w:rsidR="009651A5" w:rsidRPr="00701C8E" w:rsidRDefault="009651A5" w:rsidP="00A72C8C">
            <w:pPr>
              <w:spacing w:line="360" w:lineRule="auto"/>
              <w:jc w:val="center"/>
              <w:rPr>
                <w:rFonts w:ascii="Arial" w:hAnsi="Arial" w:cs="Arial"/>
                <w:sz w:val="24"/>
                <w:szCs w:val="24"/>
              </w:rPr>
            </w:pPr>
          </w:p>
        </w:tc>
        <w:tc>
          <w:tcPr>
            <w:tcW w:w="2069" w:type="pct"/>
          </w:tcPr>
          <w:p w:rsidR="009651A5" w:rsidRPr="00701C8E" w:rsidRDefault="009651A5" w:rsidP="00A72C8C">
            <w:pPr>
              <w:spacing w:line="360" w:lineRule="auto"/>
              <w:jc w:val="center"/>
              <w:rPr>
                <w:rFonts w:ascii="Arial" w:hAnsi="Arial" w:cs="Arial"/>
                <w:sz w:val="24"/>
                <w:szCs w:val="24"/>
              </w:rPr>
            </w:pPr>
            <w:r w:rsidRPr="00701C8E">
              <w:rPr>
                <w:rFonts w:ascii="Arial" w:hAnsi="Arial" w:cs="Arial"/>
                <w:sz w:val="24"/>
                <w:szCs w:val="24"/>
              </w:rPr>
              <w:t>95%</w:t>
            </w:r>
          </w:p>
        </w:tc>
      </w:tr>
    </w:tbl>
    <w:p w:rsidR="009651A5" w:rsidRPr="00241B9A" w:rsidRDefault="009651A5" w:rsidP="009651A5">
      <w:pPr>
        <w:tabs>
          <w:tab w:val="left" w:pos="0"/>
          <w:tab w:val="center" w:pos="4873"/>
        </w:tabs>
        <w:spacing w:after="0" w:line="360" w:lineRule="auto"/>
        <w:jc w:val="both"/>
        <w:rPr>
          <w:rFonts w:ascii="Arial" w:eastAsia="Times New Roman" w:hAnsi="Arial" w:cs="Arial"/>
          <w:sz w:val="26"/>
          <w:szCs w:val="26"/>
        </w:rPr>
      </w:pPr>
    </w:p>
    <w:p w:rsidR="009651A5" w:rsidRPr="00241B9A" w:rsidRDefault="007A5D63" w:rsidP="009651A5">
      <w:pPr>
        <w:tabs>
          <w:tab w:val="left" w:pos="0"/>
          <w:tab w:val="center" w:pos="4873"/>
        </w:tabs>
        <w:spacing w:after="0" w:line="360" w:lineRule="auto"/>
        <w:jc w:val="both"/>
        <w:rPr>
          <w:rFonts w:ascii="Arial" w:eastAsia="Times New Roman" w:hAnsi="Arial" w:cs="Arial"/>
          <w:sz w:val="26"/>
          <w:szCs w:val="26"/>
        </w:rPr>
      </w:pPr>
      <w:r>
        <w:rPr>
          <w:rFonts w:ascii="Arial" w:eastAsia="Times New Roman" w:hAnsi="Arial" w:cs="Arial"/>
          <w:sz w:val="26"/>
          <w:szCs w:val="26"/>
        </w:rPr>
        <w:t>M</w:t>
      </w:r>
      <w:r w:rsidR="009651A5" w:rsidRPr="00241B9A">
        <w:rPr>
          <w:rFonts w:ascii="Arial" w:eastAsia="Times New Roman" w:hAnsi="Arial" w:cs="Arial"/>
          <w:sz w:val="26"/>
          <w:szCs w:val="26"/>
        </w:rPr>
        <w:t>eritorious students who excelled in the field of sports, arts, and other extra-curricular activities, class toppers and rank holders were felicitated by conducting a Merit Day. The Principal, Dr G S Sreelatha gave away the prizes.</w:t>
      </w:r>
    </w:p>
    <w:p w:rsidR="009651A5" w:rsidRDefault="009651A5" w:rsidP="009651A5">
      <w:pPr>
        <w:spacing w:line="360" w:lineRule="auto"/>
        <w:rPr>
          <w:rFonts w:ascii="Arial" w:hAnsi="Arial" w:cs="Arial"/>
          <w:b/>
          <w:sz w:val="26"/>
          <w:szCs w:val="26"/>
        </w:rPr>
      </w:pPr>
    </w:p>
    <w:p w:rsidR="009651A5" w:rsidRPr="00241B9A" w:rsidRDefault="009651A5" w:rsidP="009651A5">
      <w:pPr>
        <w:spacing w:line="360" w:lineRule="auto"/>
        <w:rPr>
          <w:rFonts w:ascii="Arial" w:hAnsi="Arial" w:cs="Arial"/>
          <w:b/>
          <w:sz w:val="26"/>
          <w:szCs w:val="26"/>
        </w:rPr>
      </w:pPr>
      <w:r w:rsidRPr="00241B9A">
        <w:rPr>
          <w:rFonts w:ascii="Arial" w:hAnsi="Arial" w:cs="Arial"/>
          <w:b/>
          <w:sz w:val="26"/>
          <w:szCs w:val="26"/>
        </w:rPr>
        <w:t>Teaching</w:t>
      </w:r>
      <w:r>
        <w:rPr>
          <w:rFonts w:ascii="Arial" w:hAnsi="Arial" w:cs="Arial"/>
          <w:b/>
          <w:sz w:val="26"/>
          <w:szCs w:val="26"/>
        </w:rPr>
        <w:t xml:space="preserve"> and Non-Teaching</w:t>
      </w:r>
      <w:r w:rsidRPr="00241B9A">
        <w:rPr>
          <w:rFonts w:ascii="Arial" w:hAnsi="Arial" w:cs="Arial"/>
          <w:b/>
          <w:sz w:val="26"/>
          <w:szCs w:val="26"/>
        </w:rPr>
        <w:t xml:space="preserve"> Faculty</w:t>
      </w:r>
    </w:p>
    <w:p w:rsidR="009651A5" w:rsidRPr="00241B9A" w:rsidRDefault="009651A5" w:rsidP="009651A5">
      <w:pPr>
        <w:spacing w:line="360" w:lineRule="auto"/>
        <w:ind w:firstLine="720"/>
        <w:rPr>
          <w:rFonts w:ascii="Arial" w:hAnsi="Arial" w:cs="Arial"/>
          <w:sz w:val="26"/>
          <w:szCs w:val="26"/>
        </w:rPr>
      </w:pPr>
      <w:r w:rsidRPr="00241B9A">
        <w:rPr>
          <w:rFonts w:ascii="Arial" w:hAnsi="Arial" w:cs="Arial"/>
          <w:sz w:val="26"/>
          <w:szCs w:val="26"/>
        </w:rPr>
        <w:t xml:space="preserve">At present, </w:t>
      </w:r>
      <w:r>
        <w:rPr>
          <w:rFonts w:ascii="Arial" w:hAnsi="Arial" w:cs="Arial"/>
          <w:sz w:val="26"/>
          <w:szCs w:val="26"/>
        </w:rPr>
        <w:t>there are 58</w:t>
      </w:r>
      <w:r w:rsidRPr="00241B9A">
        <w:rPr>
          <w:rFonts w:ascii="Arial" w:hAnsi="Arial" w:cs="Arial"/>
          <w:sz w:val="26"/>
          <w:szCs w:val="26"/>
        </w:rPr>
        <w:t xml:space="preserve"> permanent faculty members</w:t>
      </w:r>
      <w:r>
        <w:rPr>
          <w:rFonts w:ascii="Arial" w:hAnsi="Arial" w:cs="Arial"/>
          <w:sz w:val="26"/>
          <w:szCs w:val="26"/>
        </w:rPr>
        <w:t>, including guest faculty and 28 non-teaching members</w:t>
      </w:r>
      <w:r w:rsidRPr="00241B9A">
        <w:rPr>
          <w:rFonts w:ascii="Arial" w:hAnsi="Arial" w:cs="Arial"/>
          <w:sz w:val="26"/>
          <w:szCs w:val="26"/>
        </w:rPr>
        <w:t>.  Out of the total teaching faculty members, three teachers have been deputed for Phd courses during the year 2014-15.</w:t>
      </w:r>
    </w:p>
    <w:p w:rsidR="009651A5" w:rsidRPr="00241B9A" w:rsidRDefault="009651A5" w:rsidP="009651A5">
      <w:pPr>
        <w:spacing w:line="360" w:lineRule="auto"/>
        <w:rPr>
          <w:rFonts w:ascii="Arial" w:hAnsi="Arial" w:cs="Arial"/>
          <w:b/>
          <w:sz w:val="26"/>
          <w:szCs w:val="26"/>
        </w:rPr>
      </w:pPr>
      <w:r w:rsidRPr="00241B9A">
        <w:rPr>
          <w:rFonts w:ascii="Arial" w:hAnsi="Arial" w:cs="Arial"/>
          <w:b/>
          <w:sz w:val="26"/>
          <w:szCs w:val="26"/>
        </w:rPr>
        <w:t>Activities and Achievements</w:t>
      </w:r>
    </w:p>
    <w:p w:rsidR="009651A5" w:rsidRPr="00241B9A" w:rsidRDefault="009651A5" w:rsidP="009651A5">
      <w:pPr>
        <w:spacing w:line="360" w:lineRule="auto"/>
        <w:rPr>
          <w:rFonts w:ascii="Arial" w:hAnsi="Arial" w:cs="Arial"/>
          <w:sz w:val="26"/>
          <w:szCs w:val="26"/>
        </w:rPr>
      </w:pPr>
      <w:r w:rsidRPr="00241B9A">
        <w:rPr>
          <w:rFonts w:ascii="Arial" w:hAnsi="Arial" w:cs="Arial"/>
          <w:sz w:val="26"/>
          <w:szCs w:val="26"/>
        </w:rPr>
        <w:t>The various departments of the college and the NCC and NSS units organised and conducted multifarious events and programmes. These activities provided a stage for the students to explore and excel themselves in their respective fields.</w:t>
      </w:r>
    </w:p>
    <w:p w:rsidR="009651A5" w:rsidRPr="00241B9A" w:rsidRDefault="009651A5" w:rsidP="009651A5">
      <w:pPr>
        <w:spacing w:line="360" w:lineRule="auto"/>
        <w:rPr>
          <w:rFonts w:ascii="Arial" w:hAnsi="Arial" w:cs="Arial"/>
          <w:b/>
          <w:sz w:val="26"/>
          <w:szCs w:val="26"/>
        </w:rPr>
      </w:pPr>
      <w:r w:rsidRPr="00241B9A">
        <w:rPr>
          <w:rFonts w:ascii="Arial" w:hAnsi="Arial" w:cs="Arial"/>
          <w:b/>
          <w:sz w:val="26"/>
          <w:szCs w:val="26"/>
        </w:rPr>
        <w:t>Department of English</w:t>
      </w:r>
    </w:p>
    <w:p w:rsidR="009651A5" w:rsidRPr="00241B9A" w:rsidRDefault="009651A5" w:rsidP="009651A5">
      <w:pPr>
        <w:spacing w:line="360" w:lineRule="auto"/>
        <w:rPr>
          <w:rFonts w:ascii="Arial" w:hAnsi="Arial" w:cs="Arial"/>
          <w:sz w:val="26"/>
          <w:szCs w:val="26"/>
        </w:rPr>
      </w:pPr>
      <w:r w:rsidRPr="00241B9A">
        <w:rPr>
          <w:rFonts w:ascii="Arial" w:hAnsi="Arial" w:cs="Arial"/>
          <w:sz w:val="26"/>
          <w:szCs w:val="26"/>
        </w:rPr>
        <w:t xml:space="preserve">The Department, as part of its extension activities, conducted Adult Literacy programmes in the locality. Motivated the PG students to conduct peer teaching in the neighbouring school. The faculty members also took Communicative English classes for teenagers from the nearby areas, and gender sensitization programmes for homemakers in the locality. </w:t>
      </w:r>
    </w:p>
    <w:p w:rsidR="00F53B58" w:rsidRPr="00612A17" w:rsidRDefault="009651A5" w:rsidP="00612A17">
      <w:pPr>
        <w:spacing w:line="360" w:lineRule="auto"/>
        <w:rPr>
          <w:rFonts w:ascii="Arial" w:hAnsi="Arial" w:cs="Arial"/>
          <w:sz w:val="26"/>
          <w:szCs w:val="26"/>
        </w:rPr>
      </w:pPr>
      <w:r w:rsidRPr="00241B9A">
        <w:rPr>
          <w:rFonts w:ascii="Arial" w:hAnsi="Arial" w:cs="Arial"/>
          <w:b/>
          <w:sz w:val="26"/>
          <w:szCs w:val="26"/>
        </w:rPr>
        <w:t>Department of Political Science</w:t>
      </w:r>
    </w:p>
    <w:sectPr w:rsidR="00F53B58" w:rsidRPr="00612A17" w:rsidSect="00612A17">
      <w:foot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55D" w:rsidRDefault="0034655D" w:rsidP="00612A17">
      <w:pPr>
        <w:spacing w:after="0" w:line="240" w:lineRule="auto"/>
      </w:pPr>
      <w:r>
        <w:separator/>
      </w:r>
    </w:p>
  </w:endnote>
  <w:endnote w:type="continuationSeparator" w:id="1">
    <w:p w:rsidR="0034655D" w:rsidRDefault="0034655D" w:rsidP="00612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4602"/>
      <w:docPartObj>
        <w:docPartGallery w:val="Page Numbers (Bottom of Page)"/>
        <w:docPartUnique/>
      </w:docPartObj>
    </w:sdtPr>
    <w:sdtEndPr>
      <w:rPr>
        <w:noProof/>
      </w:rPr>
    </w:sdtEndPr>
    <w:sdtContent>
      <w:p w:rsidR="00612A17" w:rsidRDefault="00AD2D93">
        <w:pPr>
          <w:pStyle w:val="Footer"/>
          <w:jc w:val="center"/>
        </w:pPr>
        <w:r>
          <w:fldChar w:fldCharType="begin"/>
        </w:r>
        <w:r w:rsidR="00612A17">
          <w:instrText xml:space="preserve"> PAGE   \* MERGEFORMAT </w:instrText>
        </w:r>
        <w:r>
          <w:fldChar w:fldCharType="separate"/>
        </w:r>
        <w:r w:rsidR="00731002">
          <w:rPr>
            <w:noProof/>
          </w:rPr>
          <w:t>1</w:t>
        </w:r>
        <w:r>
          <w:rPr>
            <w:noProof/>
          </w:rPr>
          <w:fldChar w:fldCharType="end"/>
        </w:r>
      </w:p>
    </w:sdtContent>
  </w:sdt>
  <w:p w:rsidR="00612A17" w:rsidRDefault="00612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55D" w:rsidRDefault="0034655D" w:rsidP="00612A17">
      <w:pPr>
        <w:spacing w:after="0" w:line="240" w:lineRule="auto"/>
      </w:pPr>
      <w:r>
        <w:separator/>
      </w:r>
    </w:p>
  </w:footnote>
  <w:footnote w:type="continuationSeparator" w:id="1">
    <w:p w:rsidR="0034655D" w:rsidRDefault="0034655D" w:rsidP="00612A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51A5"/>
    <w:rsid w:val="00106875"/>
    <w:rsid w:val="0034655D"/>
    <w:rsid w:val="00347390"/>
    <w:rsid w:val="00486FBC"/>
    <w:rsid w:val="00612A17"/>
    <w:rsid w:val="00641539"/>
    <w:rsid w:val="00731002"/>
    <w:rsid w:val="007A5D63"/>
    <w:rsid w:val="008B58CF"/>
    <w:rsid w:val="009651A5"/>
    <w:rsid w:val="009B41AB"/>
    <w:rsid w:val="00AD2D93"/>
    <w:rsid w:val="00CB6B29"/>
    <w:rsid w:val="00F53B5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A17"/>
  </w:style>
  <w:style w:type="paragraph" w:styleId="Footer">
    <w:name w:val="footer"/>
    <w:basedOn w:val="Normal"/>
    <w:link w:val="FooterChar"/>
    <w:uiPriority w:val="99"/>
    <w:unhideWhenUsed/>
    <w:rsid w:val="0061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A17"/>
  </w:style>
  <w:style w:type="paragraph" w:styleId="Footer">
    <w:name w:val="footer"/>
    <w:basedOn w:val="Normal"/>
    <w:link w:val="FooterChar"/>
    <w:uiPriority w:val="99"/>
    <w:unhideWhenUsed/>
    <w:rsid w:val="0061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A17"/>
  </w:style>
</w:styles>
</file>

<file path=word/webSettings.xml><?xml version="1.0" encoding="utf-8"?>
<w:webSettings xmlns:r="http://schemas.openxmlformats.org/officeDocument/2006/relationships" xmlns:w="http://schemas.openxmlformats.org/wordprocessingml/2006/main">
  <w:divs>
    <w:div w:id="90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dcterms:created xsi:type="dcterms:W3CDTF">2018-07-06T16:43:00Z</dcterms:created>
  <dcterms:modified xsi:type="dcterms:W3CDTF">2018-09-21T18:47:00Z</dcterms:modified>
</cp:coreProperties>
</file>